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130 / 274 vom 4. April 2013</w:t>
      </w:r>
    </w:p>
    <w:p>
      <w:r>
        <w:t>BL Gerichte, 2013-04-04, DE</w:t>
      </w:r>
    </w:p>
    <w:p>
      <w:r>
        <w:rPr>
          <w:b/>
        </w:rPr>
        <w:t xml:space="preserve">Quelle: </w:t>
      </w:r>
      <w:r>
        <w:t>https://mcp.opencaselaw.ch/entscheid/bl_gerichte_720 2013 130 _ 274</w:t>
      </w:r>
    </w:p>
    <w:p>
      <w:r>
        <w:t>FR: BL_GERICHTE 720 2013 130 / 274 du 4 avril 2013</w:t>
      </w:r>
    </w:p>
    <w:p>
      <w:r>
        <w:t>IT: BL_GERICHTE 720 2013 130 / 274 del 4 aprile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 Mai 2013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3.3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3.4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4.1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H.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4. April 2013) entwickelt haben, wobei für die hypothetische Annahme einer im Gesundheitsfall ausgeübten (Teil-) Erwerbstätigkeit der im Sozialversicherungsrecht übliche Beweis-grad der überwiegenden Wahrscheinlichkeit erforderlich ist (BGE 137 V 338 E. 3.2, 125 V 150 E. 2c, je mit Hinweisen). 4.2 Vorliegend hat die IV-Stelle den Invaliditätsgrad der Versicherten nach der gemischten Methode bemessen, was von der Beschwerdeführerin - zu Recht - nicht bestritten wird. Die IV-Stelle hat bei der Festlegung der Anteile der Erwerbstätigkeit und der Haushalttätigkeit auf die im “Fragebogen zur Ermittlung der Erwerbstätigkeit“ wiedergegebenen Angaben der Versicherten abgestellt, wonach diese ohne gesundheitliche Beeinträchtigungen wie bis anhin im Umfang von fünf Stunden pro Woche, was einem Teilzeitpensum von 12 % entspricht, als Hauswartin erwerbstätig wäre. Gestützt auf diese Aussage der Versicherten hat die IV-Stelle den Anteil der Erwerbstätigkeit auf 12 % und jenen der Haushalttätigkeit entsprechend auf 88 % festgesetzt, was nicht zu beanstanden ist und denn auch von der Beschwerdeführerin nicht in Frage gestellt wird. 5.1 Ausgangspunkt der Ermittlung des Invaliditätsgrades im Erwerbsbereich bildet die Frage, in welchem Ausmass die versicherte Person aufgrund ihrer gesundheitlichen Beeinträchtigungen arbeitsunfähig ist. 5.2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f.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5.4 Die IV-Stelle holte zur Abklärung des medizinischen Sachverhalts einen Bericht des Hausarztes Dr. med. C. , Innere Medizin FMH, ein. Dieser diagnostizierte in seinem Schreiben vom 8. Mai 2012 bei der Versicherten zahlreiche somatische und psychische Gesundheitsbeeinträchtigungen (so unter anderem eine Erkrankung an Multipler Sklerose, eine anhaltende somatoforme Schmerzstörung, eine mittelgradige bis schwere depressive Episode und einen koronare 3-Asterkrankung). Bezüglich der Arbeitsfähigkeit führte er aus, dass der Versicherten auf Grund dieser Leiden seit Februar 2009 keinerlei beruflichen Tätigkeiten mehr zumutbar seien. Da sich Dr. med. D. , Facharzt für Arbeitsmedizin, Regionaler Ärztlicher Dienst (RAD) beider Basel, in seiner Beurteilung vom 21. Mai 2012 dieser Einschätzung anschloss, sah die IV-Stelle von zusätzlichen medizinischen Abklärungen ab und sie ging in der Folge in der angefochtenen Verfügung vom 4. April 2013 gestützt auf die genannten beiden Berichte davon aus, dass die Versicherte in sämtlichen beruflichen Tätigkeiten vollständig arbeitsunfähig sei. Diese vorinstanzliche Würdigung des medizinischen Sachverhalts ist - was die Zumutbarkeit der Ausübung einer beruflichen Tätigkeit betrifft - nicht zu beanstanden. 5.5 Wie bereits weiter oben ausgeführt (vgl. E. 3.5 hiervor), ist gemäss Art. 16 ATSG der Invaliditätsgrad bei erwerbstätigen Versicherten aufgrund eines Einkommensvergleichs zu bestimmen. Da die Beschwerdeführerin nach dem vorstehend Gesagten in sämtlichen beruflichen Tätigkeiten vollständig arbeitsunfähig ist, kann allerdings ein solcher unterbleiben und ohne weitere Erörterungen festgehalten werden, dass der Invaliditätsgrad im Erwerbsbereich 100 % beträgt, was zwischen den Parteien im Übrigen auch nicht streitig ist.</w:t>
      </w:r>
    </w:p>
    <w:p>
      <w:r>
        <w:rPr>
          <w:b/>
        </w:rPr>
        <w:t>E. 6</w:t>
      </w:r>
    </w:p>
    <w:p>
      <w:r>
        <w:t>Zu prüfen ist hingegen, in welchem Masse die Beschwerdeführerin zufolge ihrer gesundheitlichen Beschwerden im Haushalt eingeschränkt ist.</w:t>
      </w:r>
    </w:p>
    <w:p>
      <w:r>
        <w:rPr>
          <w:b/>
        </w:rPr>
        <w:t>E. 6.1</w:t>
      </w:r>
    </w:p>
    <w:p>
      <w:r>
        <w:t>Zur Ermittlung der Einschränkung im Haushaltsbereich bedarf es im Regelfall einer Abklärung vor Ort (vgl. Art. 69 Abs. 2 IVV). Hinsichtlich des Beweiswertes des Abklärungsberichts sind - analog zur Rechtsprechung zur Beweiskraft von Arztberichten (BGE 134 V 232 E. 5.1)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des Bundesgerichts vom 18. August 2008, 8C_107/2008, E. 3.2.1 mit Hinweis; BGE 128 V 93 f. E. 4).</w:t>
      </w:r>
    </w:p>
    <w:p>
      <w:r>
        <w:rPr>
          <w:b/>
        </w:rPr>
        <w:t>E. 6.2</w:t>
      </w:r>
    </w:p>
    <w:p>
      <w:r>
        <w:t>Aus dem "Abklärungsbericht Haushalt" vom 28. Januar 2013 geht hervor, dass verschiedene der im Haushalt anfallenden Tätigkeiten wie die Haushaltführung (Ziff. 4.1), der Einkauf und weitere Besorgungen (Ziff. 4.4) sowie die Pflanzen- und Gartenpflege (unter “Verschiedenes“, Ziff. 4.7) ausschliesslich vom Ehemann der Beschwerdeführerin erledigt werden. In diesen Bereichen attestiert die Abklärungsperson der Versicherten deshalb keine Einschränkung. Im Bereich “Ernährung“, welcher insbesondere das Rüsten, das Kochen, das Anrichten und die Reinigungsarbeiten in der Küche umfasst (Ziff. 4.2), bei der Wohnungspflege (Ziff. 4.3) sowie bei der Wäsche- und Kleiderpflege (Ziff. 4.5) wird der Versicherten eine Einschränkung attestiert. Im Berichtstext heisst es hierzu, im Rahmen der Schadenminderungspflicht sei dem Ehemann zwar eine Mithilfe zumutbar, jedoch nicht praktisch die gesamte Übernahme aller Arbeiten, sodass in den betreffenden Bereichen eine Einschränkung angerechnet werden könne. Diese wird von der Abklärungsperson in der Folge in allen drei Bereichen (Ernährung, Wohnungspflege sowie Wäsche- und Kleiderpflege) einheitlich mit 45 % beziffert.</w:t>
      </w:r>
    </w:p>
    <w:p>
      <w:r>
        <w:rPr>
          <w:b/>
        </w:rPr>
        <w:t>E. 6.3</w:t>
      </w:r>
    </w:p>
    <w:p>
      <w:r>
        <w:t>Aus dem Abklärungsbericht vom 28. Januar 2013 wird somit deutlich, dass die im Haushalt der Beschwerdeführerin anfallenden Tätigkeit zu einem grossen Teil von deren Ehemann erledigt werden. Diesbezüglich gilt es zwar zu berücksichtigen, dass die im Sozialversicherungsrecht jeder versicherten Person obliegende Schadenminderungspflicht auch bei der Bemessung der Invalidität im Haushalt miteinzubeziehen ist.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509 f. E. 4.2 mit Hinweisen; Urteil des Bundesgerichts vom 25. März 2010, 9C_39/2010, E. 4.3.2). Nach der Rechtsprechung des Bundesgerichts darf aber unter dem Titel der Schadenminderungspflicht der versicherten Person nicht etwa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133 V 510 E. 4.2). Ginge man nämlich davon aus, dass es zur Schadenminderungspflicht gehört, die behinderungsbedingt fehlende Leistungsfähigkeit im Haushalt soweit als möglich durch die Mithilfe von Familienangehörigen zu kompensieren, würde dies im Ergebnis dazu führen, dass nicht die Invalidität der behinderten Person, sondern die Leistungsfähigkeit der Familie, zu der die behinderte Person gehört, gemessen wird. Im Extremfall könnte die Mithilfe einer vielköpfigen Familie im Haushalt daher so gross sein, dass selbst eine bettlägerige Person im Haushalt als nicht invalid betrachtet werden müsste (Entscheid des Versicherungsgerichts des Kantons St. Gallen vom 3. April 2008, IV 2006/248, E. 5.1.1).</w:t>
      </w:r>
    </w:p>
    <w:p>
      <w:r>
        <w:rPr>
          <w:b/>
        </w:rPr>
        <w:t>E. 6.4</w:t>
      </w:r>
    </w:p>
    <w:p>
      <w:r>
        <w:t>Im vorliegenden Fall wird die Schadenminderungspflicht genau in diesem Sinne überstrapaziert. Dem Ehemann ist im Rahmen der Schadenminderungspflicht durchaus eine gewisse Mithilfe im Haushalt zumutbar, es geht aber zu weit, wenn ihm - wie oben aufgezeigt - in verschiedenen Bereichen (Ziff. 4.1, 4.4 und 4.7) unter pauschalem Hinweis auf eben diese Schadenminderungspflicht sämtliche Arbeiten und in den restlichen Bereichen (Ziff. 4.2, 4.3 und 4.5) - wiederum unter pauschalem Hinweis auf die Schadenminderungspflicht - ein erheblicher Teil der anfallenden Tätigkeiten übertragen werden. Dadurch wird die Schadenminderungspflicht im Ergebnis jedoch über das im Rahmen der Invaliditätsbemessung bei einer Hausfrau oder einem Hausmann zu berücksichtigende Ausmass hinaus ausgedehnt. Auf die Ergebnisse des Berichts kann bereits deshalb nicht abgestellt werden. Der vorliegende Abklärungsbericht vermag aber auch aus einem weiteren Grund nicht zu überzeugen. Damit einem solchen Bericht voller Beweiswert zuerkannt werden kann, muss der Berichtstext - wie oben ausgeführt (vgl. E. 6.1 hiervor) - plausibel, begründet und bezüglich der einzelnen Einschränkungen angemessen detailliert sein. Letzterem Erfordernis vermag der vorliegende Abklärungsbericht klarerweise nicht zu genügen. In den drei Bereichen, in denen der Versicherten eine Einschränkung attestiert wird, lassen sich dem Bericht in Bezug auf die einzelnen Beeinträchtigungen keinerlei differenzieren-de Aussagen entnehmen. In allen drei Bereichen heisst es vielmehr übereinstimmend in pauschaler Weise, es könne gemäss den Angaben der Versicherten sowie den medizinischen Unterlagen nachvollzogen werden, dass die Versicherte im betreffenden Bereich eine Einschränkung erlebe. Sie könne lediglich noch sehr leichte Arbeiten übernehmen, den Rest erledige der Ehemann. Im Rahmen der Schadenminderungspflicht sei dem Ehemann zwar eine Mithilfe zumutbar, jedoch nicht praktisch die gesamte Übernahme aller Arbeiten, sodass im betreffenden Bereich eine “gewisse Einschränkung“ angerechnet werden könne. Diese wird von der Abklärungsperson in der Folge in allen drei Bereichen (Ernährung, Wohnungspflege sowie Wäsche- und Kleiderpflege) ohne weitere Begründung einheitlich auf 45 % festgesetzt. Dadurch kommt die Abklärungsperson aber der ihr obliegenden Pflicht zur angemessen detaillierten Begründung der einzelnen Einschränkungen nicht nach und es ist denn auch in keiner Weise nachvollziehbar, wie die Abklärungsperson für alle drei Bereiche zu exakt derselben Prozentzahl der Einschränkung (“ 45 % “) gelangt ist. Auf die Resultate des Abklärungsberichts kann deshalb -auch aus diesen Gründen - nicht abgestellt werden.</w:t>
      </w:r>
    </w:p>
    <w:p>
      <w:r>
        <w:rPr>
          <w:b/>
        </w:rPr>
        <w:t>E. 6.5</w:t>
      </w:r>
    </w:p>
    <w:p>
      <w:r>
        <w:t>Leidet die im Haushalt tätige Person (auch) an psychischen Gesundheitsbeeinträchtigungen, so gilt es zusätzlich zu berücksichtigen, dass die grundsätzliche Massgeblichkeit der Abklärungsberichte, auch wenn die erwähnten Anforderungen erfüllt wären, praxisgemäss eingeschränkt ist (vgl. AHI-Praxis 2001 S. 162 E. 3d mit Hinweis). Im Urteil vom 22. Dezember 2003 (I 311/03, in deutscher Übersetzung publiziert in: AHI-Praxis 2004 S. 137 ff.) hat das EVG seine Rechtsprechung zur Bemessung der Invalidität von ganz oder teilweise im Haushalt tätigen Personen, welche an einem psychischen Gesundheitsschaden leiden, präzisiert (E. 5, insbesondere E. 5.3). Danach bildet die Abklärung im Haushalt auch hier grundsätzlich ein geeignetes Mittel zur Invaliditätsbemessung im Aufgabenbereich. Im Falle eines Widerspruchs zwischen den Ergebnissen der Abklärung vor Ort und den fachmedizinischen Feststellungen zur Fähigkeit der versicherten Person, ihre gewohnten Aufgaben zu erfüllen, ist den ärztlichen Stellungnahmen aber in der Regel mehr Gewicht einzuräumen als dem Bericht über die Haushaltsabklärung (Urteil des Bundesgerichts vom 5. September 2011, 9C_201/2011, E. 2). Diese prinzipielle Gewichtung hat ihren Grund darin, dass es für die Abklärungsperson regelmässig nur beschränkt möglich ist, das Ausmass des psychischen Leidens und der damit verbundenen Einschränkungen zu erkennen (Urteil des Bundesgerichts vom 13. Juni 2008, 8C_671/2007, E. 3.2.1 mit Hinweisen). Für die Rechtsanwendung im konkreten Fall bedeutet dies, dass nach Massgabe der Kriterien, die von der Rechtsprechung entwickelt worden sind, der Beweiswert sowohl der medizinischen Unterlagen (BGE 125 V 352 E. 3) als auch des Haushaltsabklärungsberichts zu beurteilen ist. Liegen gleichermassen beweiskräftige Stellungnahmen vor, muss geprüft werden, ob die gemachten Aussagen vereinbar sind oder einander widersprechen. Bestehen Divergenzen zwischen den Ergebnissen der Haushaltsabklärung und den ärztlichen Feststellungen zur Fähigkeit der versicherten Person, ihre Haushaltstätigkeiten trotz des psychischen Leidens noch verrichten zu können, ist der medizinischen Einschätzung prinzipiell höheres Gewicht beizumessen (vgl. Urteile des Bundesgerichts vom 28. Februar 2007, I 373/06, E. 4.3.2 und vom 6. September 2004, I 249/04, E. 5.1.1).</w:t>
      </w:r>
    </w:p>
    <w:p>
      <w:r>
        <w:rPr>
          <w:b/>
        </w:rPr>
        <w:t>E. 6.6</w:t>
      </w:r>
    </w:p>
    <w:p>
      <w:r>
        <w:t>Wie den Akten entnommen werden kann, leidet die Beschwerdeführerin nicht nur an schweren somatischen Erkrankungen, sondern auch an erheblichen psychischen Gesundheitsbeeinträchtigungen. So diagnostiziert Dr. C. in seinem Schreiben vom 8. Mai 2012 bei der Versicherten eine mittelgradige bis schwere depressive Episode und eine anhaltende somatoforme Schmerzstörung. Dies deckt sich mit den Befunden, die laut Austrittsbericht der Klinik E. vom 24. April 2012 in der genannten Klinik erhoben worden waren. Trotz dieser Diagnosen, welche der Abklärungsperson bekannt gewesen sind, geht deren Bericht nur am Rande auf die psychische Leistungsfähigkeit der Versicherten im Haushalt ein, was den Beweiswert des Berichts zusätzlich schmälert. Vorwerfen lassen muss sich die IV-Stelle aber auch, dass sie davon abgesehen hat, eine psychiatrische Einschätzung der krankheitsbedingten Einschränkung im Haushaltbereich einzuholen, obwohl eine solche nach dem oben Gesagten (vgl. E. 6.5 hiervor) für die Invaliditätsbemessung bei im Haushalt tätigen Versicherten, die (auch) an einer psychischen Erkrankung leiden, von wesentlicher Bedeutung ist. Dazu kommt, dass sich der RAD-Arzt Dr. D. , der allerdings nicht Facharzt für Psychiatrie ist, in seiner Beurteilung vom 21. Mai 2012 hierzu ebenfalls nicht geäussert, sondern vielmehr selber festgehalten hat, dass er zur Situation im Aufgabenbereich nicht Stellung nehme. Somit beanstandet Dr. B. , der behandelnde Neurologe der Versicherten, in seinem Schreiben vom 5. August 2013 aber zu Recht, dass die psychische Erkrankung seiner Patientin und die darauf zurückzuführende Einschränkung im Aufgabenbereich seitens der IV-Stelle ungenügend abgeklärt worden seien. Der medizinische Sachverhalt bedarf diesbezüglich einer entsprechenden nachträglichen Beurteilung durch eine Fachärztin bzw. einen Facharzt für Psychiatrie.</w:t>
      </w:r>
    </w:p>
    <w:p>
      <w:r>
        <w:rPr>
          <w:b/>
        </w:rPr>
        <w:t>E. 7</w:t>
      </w:r>
    </w:p>
    <w:p>
      <w:r>
        <w:t>Zusammenfassend ist festzuhalten, dass gestützt auf die medizinischen Unterlagen und den vorliegenden Haushaltsabklärungsbericht die Invalidität der Versicherten im Aufgabenbereich nicht zuverlässig beurteilt werden kann. Aus diesem Grund ist die angefochtene Verfügung vom 4. April 2013 aufzuheben und die Angelegenheit zur weiteren Abklärung an die IV-Stelle zurückzuweisen. Die IV-Stelle wird einen neuen Haushaltsabklärungsbericht zu veranlassen haben, in welchem allfällige Beeinträchtigungen im Haushalt nachvollziehbar darzustellen sein werden. Dabei wird insbesondere eine korrekte Auseinandersetzung mit der Schadenminderungspflicht des Ehegatten der Beschwerdeführerin zu erfolgen haben. Zudem wird die IV-Stelle dafür zu sorgen haben, dass die einzelnen Einschränkungen im Berichtstext plausibel und angemessen detailliert begründet werden. Im Weiteren wird es Aufgabe der IV-Stelle sein, den psychischen Gesundheitszustand der Beschwerdeführerin und die Frage, inwieweit die vorhandenen psychischen Leiden die Versicherte in der Haushalttätigkeit einschränken, durch ein psychiatrisches Gutachten abklären zu lassen. Im Rahmen seiner Beurteilung wird sich der Gutachter nach Einsichtnahme in den (neuen) Haushaltsabklärungsbericht insbesondere auch zur Frage zu äussern haben, ob sich die Ergebnisse des Berichts mit seiner eigenen Einschätzung der psychiatrischen Einschränkungen im Haushaltsbereich decken. Gestützt auf die Ergebnisse ihrer Aktenergänzung wird die IV-Stelle anschliessend über den Rentenanspruch der Beschwerdeführerin neu zu verfügen haben. Die vorliegende Beschwerde ist in diesem Sinne gutzuheissen.</w:t>
      </w:r>
    </w:p>
    <w:p>
      <w:r>
        <w:rPr>
          <w:b/>
        </w:rPr>
        <w:t>E. 8</w:t>
      </w:r>
    </w:p>
    <w:p>
      <w:r>
        <w:t>Abschliessend bleibt über die Kosten des Verfahrens zu befinden.</w:t>
      </w:r>
    </w:p>
    <w:p>
      <w:r>
        <w:rPr>
          <w:b/>
        </w:rPr>
        <w:t>E. 8.1</w:t>
      </w:r>
    </w:p>
    <w:p>
      <w:r>
        <w:t>Beim Entscheid über die Verlegung der Verfahrens- und der Parteikosten ist grundsätzlich auf den Prozessausgang abzustellen. Wenn das Kantonsgericht eine bei ihm angefochtene Verfügung aufhebt und die Angelegenheit zu ergänzender Abklärung und neuer Beurteilung an die Verwaltung zurückweist, so gilt in prozessualer Hinsicht die Beschwerde führende Partei als (vollständig) obsiegende und die IV-Stelle als unterliegende Partei (BGE 137 V 61 f. E. 2.1 und 2.2, BGE 132 V 235 E. 6.2, je mit Hinweisen).</w:t>
      </w:r>
    </w:p>
    <w:p>
      <w:r>
        <w:rPr>
          <w:b/>
        </w:rPr>
        <w:t>E. 8.2</w:t>
      </w:r>
    </w:p>
    <w:p>
      <w:r>
        <w:t>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Der Beschwerdeführerin ist der geleistete Kostenvorschuss zurückzuerstatten.</w:t>
      </w:r>
    </w:p>
    <w:p>
      <w:r>
        <w:rPr>
          <w:b/>
        </w:rPr>
        <w:t>E. 8.3</w:t>
      </w:r>
    </w:p>
    <w:p>
      <w:r>
        <w:t>Laut Art. 61 lit. g ATSG hat die obsiegende Beschwerde führende Person Anspruch auf Ersatz der Parteikosten. Die Beschwerdeführerin ist zwar obsiegende Partei, da sie jedoch nicht vertreten ist, entfällt ein Anspruch auf Ersatz der Parteikosten im Sinne der genannten Bestimmung. Die ausserordentlichen Kosten des Verfahrens können demnach wettgeschlagen werden.</w:t>
      </w:r>
    </w:p>
    <w:p>
      <w:r>
        <w:rPr>
          <w:b/>
        </w:rPr>
        <w:t>E. 9</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4. April 2013 aufgehoben und die Angelegenheit zur weiteren Abklärung im Sinne der Erwägungen und zum Erlass einer neuen Verfügung an die IV-Stelle Basel-Landschaft zurückgewiesen wird. 2. Es werden keine Verfahrenskosten erhoben. Der Beschwerdeführerin wird der geleistete Kostenvorschuss in der Höhe von Fr. 600.-- zurückerstattet.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